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line="240" w:lineRule="auto"/>
        <w:jc w:val="right"/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 178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 2006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بتنظيم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جهاز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الشرطة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48"/>
          <w:szCs w:val="48"/>
          <w:rtl w:val="1"/>
        </w:rPr>
        <w:t xml:space="preserve">القضائية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IBM Plex Sans Arabic" w:cs="IBM Plex Sans Arabic" w:eastAsia="IBM Plex Sans Arabic" w:hAnsi="IBM Plex Sans Arabic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4"/>
          <w:szCs w:val="24"/>
          <w:rtl w:val="0"/>
        </w:rPr>
        <w:t xml:space="preserve">1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4"/>
          <w:szCs w:val="24"/>
          <w:rtl w:val="1"/>
        </w:rPr>
        <w:t xml:space="preserve">يناير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4"/>
          <w:szCs w:val="24"/>
          <w:rtl w:val="0"/>
        </w:rPr>
        <w:t xml:space="preserve"> 2006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cfe2ff" w:space="0" w:sz="6" w:val="single"/>
        </w:pBdr>
        <w:spacing w:after="0" w:line="240" w:lineRule="auto"/>
        <w:ind w:left="720" w:hanging="360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تاريخ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: 1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يناير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0"/>
        </w:rPr>
        <w:t xml:space="preserve"> 2006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cfe2ff" w:space="0" w:sz="6" w:val="single"/>
        </w:pBdr>
        <w:spacing w:after="0" w:line="240" w:lineRule="auto"/>
        <w:ind w:left="720" w:hanging="360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التشريع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0"/>
        </w:rPr>
        <w:t xml:space="preserve">: 178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cfe2ff" w:space="0" w:sz="6" w:val="single"/>
        </w:pBdr>
        <w:bidi w:val="1"/>
        <w:spacing w:after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جهة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الإصدار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: </w:t>
      </w:r>
      <w:hyperlink r:id="rId7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اللجنة</w:t>
        </w:r>
      </w:hyperlink>
      <w:hyperlink r:id="rId8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الشعبية</w:t>
        </w:r>
      </w:hyperlink>
      <w:hyperlink r:id="rId10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العامة</w:t>
        </w:r>
      </w:hyperlink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cfe2ff" w:space="0" w:sz="6" w:val="single"/>
        </w:pBdr>
        <w:bidi w:val="1"/>
        <w:spacing w:after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hyperlink r:id="rId12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جهاز</w:t>
        </w:r>
      </w:hyperlink>
      <w:hyperlink r:id="rId13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الشرطة</w:t>
        </w:r>
      </w:hyperlink>
      <w:hyperlink r:id="rId15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القضائية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: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 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cfe2ff" w:space="0" w:sz="6" w:val="single"/>
        </w:pBdr>
        <w:bidi w:val="1"/>
        <w:spacing w:after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الحالة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: </w:t>
      </w:r>
      <w:hyperlink r:id="rId17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ساري</w:t>
        </w:r>
      </w:hyperlink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0"/>
        </w:rPr>
        <w:t xml:space="preserve"> 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cfe2ff" w:space="0" w:sz="6" w:val="single"/>
        </w:pBdr>
        <w:bidi w:val="1"/>
        <w:spacing w:after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القطاع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: </w:t>
      </w:r>
      <w:hyperlink r:id="rId18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الداخلية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cfe2ff" w:space="0" w:sz="6" w:val="single"/>
        </w:pBdr>
        <w:bidi w:val="1"/>
        <w:spacing w:after="28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الصلة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: </w:t>
      </w:r>
      <w:hyperlink r:id="rId19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الشرطة</w:t>
        </w:r>
      </w:hyperlink>
      <w:hyperlink r:id="rId20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القضائية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178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2006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بتنظيم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الشرطة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القضائية</w:t>
      </w:r>
    </w:p>
    <w:p w:rsidR="00000000" w:rsidDel="00000000" w:rsidP="00000000" w:rsidRDefault="00000000" w:rsidRPr="00000000" w14:paraId="0000000B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بعد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الإطلاع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spacing w:after="0" w:before="28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القانون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1369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بشأن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المؤتمرات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واللجان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ولائحته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التنفيذية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القانون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55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1976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مسيحي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بإصدار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قانون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المدنية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hyperlink r:id="rId22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وعلي</w:t>
        </w:r>
      </w:hyperlink>
      <w:hyperlink r:id="rId23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24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القانون</w:t>
        </w:r>
      </w:hyperlink>
      <w:hyperlink r:id="rId25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رقم</w:t>
        </w:r>
      </w:hyperlink>
      <w:hyperlink r:id="rId27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5 </w:t>
        </w:r>
      </w:hyperlink>
      <w:hyperlink r:id="rId28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لسنة</w:t>
        </w:r>
      </w:hyperlink>
      <w:hyperlink r:id="rId29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1373 </w:t>
        </w:r>
      </w:hyperlink>
      <w:hyperlink r:id="rId30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و</w:t>
        </w:r>
      </w:hyperlink>
      <w:hyperlink r:id="rId31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.</w:t>
        </w:r>
      </w:hyperlink>
      <w:hyperlink r:id="rId32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ر</w:t>
        </w:r>
      </w:hyperlink>
      <w:hyperlink r:id="rId33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34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بشأن</w:t>
        </w:r>
      </w:hyperlink>
      <w:hyperlink r:id="rId35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36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مؤسسات</w:t>
        </w:r>
      </w:hyperlink>
      <w:hyperlink r:id="rId37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38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الإصلاح</w:t>
        </w:r>
      </w:hyperlink>
      <w:hyperlink r:id="rId39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والتأهيل</w:t>
        </w:r>
      </w:hyperlink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0"/>
        </w:rPr>
        <w:t xml:space="preserve"> </w:t>
      </w:r>
      <w:hyperlink r:id="rId41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ولائحته</w:t>
        </w:r>
      </w:hyperlink>
      <w:hyperlink r:id="rId42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 </w:t>
        </w:r>
      </w:hyperlink>
      <w:hyperlink r:id="rId43">
        <w:r w:rsidDel="00000000" w:rsidR="00000000" w:rsidRPr="00000000">
          <w:rPr>
            <w:rFonts w:ascii="IBM Plex Sans Arabic" w:cs="IBM Plex Sans Arabic" w:eastAsia="IBM Plex Sans Arabic" w:hAnsi="IBM Plex Sans Arabic"/>
            <w:color w:val="3366cc"/>
            <w:sz w:val="27"/>
            <w:szCs w:val="27"/>
            <w:u w:val="single"/>
            <w:rtl w:val="1"/>
          </w:rPr>
          <w:t xml:space="preserve">التنفيذية</w:t>
        </w:r>
      </w:hyperlink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مؤتمر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5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1374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بشأن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إنشاء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المراجعة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72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1372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بإعادة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تنظيم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الإداري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75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1374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بتقرير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بعض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شأن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اختصاصات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وبناء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عرضه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بكتابه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2109.2.8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المؤرخ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4/7/1374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قررته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اجتماعها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العادي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الثاني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1369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spacing w:after="28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قررته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أمانة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اجتماعها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العادي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الثالث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والعشرين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1374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</w:p>
    <w:p w:rsidR="00000000" w:rsidDel="00000000" w:rsidP="00000000" w:rsidRDefault="00000000" w:rsidRPr="00000000" w14:paraId="00000016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قررت</w:t>
      </w:r>
    </w:p>
    <w:p w:rsidR="00000000" w:rsidDel="00000000" w:rsidP="00000000" w:rsidRDefault="00000000" w:rsidRPr="00000000" w14:paraId="00000017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0"/>
        </w:rPr>
        <w:t xml:space="preserve">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ينظم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الشرطة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القضائية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المنشأ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بموجب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القانون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5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1373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المشار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إليه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الشخصية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الاعتبارية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والذمة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المستقلة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ويتبع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</w:p>
    <w:p w:rsidR="00000000" w:rsidDel="00000000" w:rsidP="00000000" w:rsidRDefault="00000000" w:rsidRPr="00000000" w14:paraId="0000001C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0"/>
        </w:rPr>
        <w:t xml:space="preserve">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مقر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الرئيسي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المدينة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طرابلس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 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بالجماهيرية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العظمى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ويجوز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فروع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بالداخل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يصدر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E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0"/>
        </w:rPr>
        <w:t xml:space="preserve">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يتولى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إدارة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مؤسسات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والإشراف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عليها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إداريا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وفنيا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وتنفيذ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التشريعات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وتطبيق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المعايير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الدولية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شأن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السجون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بهدف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النزلاء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بالطرق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العلمية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المناسبة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وتنفيذ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والأوامر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القضائية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سبيل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تحقيق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مهامه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مباشرة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الاختصاصات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after="0" w:before="28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وضع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البرامج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التنفيذية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اللازمة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مجال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ورعاية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النزلاء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تنفيذ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الإعلانات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والتبليغات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والأوامر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القضائية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الصادرة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لمحاكم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والنيابات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القيام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بالأبحاث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والدراسات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تهدف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تطوير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مؤسسات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والاستفادة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مجال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توفير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الوسائل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والوسائط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التقنية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المستخدمة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مؤسسات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لإحكام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السيطرة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الأمنية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المؤسسات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وتنظيم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عملها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وضع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وتنفيذ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البرامج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الصحية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الأهلية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والرسمية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العلاقة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إقامة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الندوات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والمؤتمرات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العلمية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العلاقة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بمجال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والمشاركة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التشريعات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واقتراح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تعديلها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يكفل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مواكبة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التطور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الحاصل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المجال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إبداء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الرأي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الاتفاقيات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الثنائية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والإقليمية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والدولية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بعمل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مؤسسات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التعاون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العربية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والدولية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المناظرة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ذلك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المنظمات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العربية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والإقليمية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والدولية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المعنية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بالسجون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للاستفادة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خبراتها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وإمكانياتها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المجال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حضور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الملتقيات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والندوات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والاجتماعات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المحلية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والعربية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والدولية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بالسجون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للضوابط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المقررة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لذلك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ظاهرة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اكتظاظ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مؤسسات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ومسبباتها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وتطوير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واستخلاص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المؤشرات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والنتائج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مباشرة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أعمال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البحث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والتحري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وجمع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الاستدلالات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الجرائم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بتطبيق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قانون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مؤسسات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والتصرف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حيالها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للقانون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تكوين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العناصر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المتخصصة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مجال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الإصلاح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بالتنسيق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المختصة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واقتراح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برامج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التدريب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والتأهيل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الداخلي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والخارجي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لرفع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كفاءة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العاملين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after="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حراسة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مقار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الهيئات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القضائية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وضمان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حماية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أعضائها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أثناء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قيامهم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بمهامهم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spacing w:after="280" w:before="0" w:line="240" w:lineRule="auto"/>
        <w:ind w:left="36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المحافظة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النظام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والأمن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داخل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مقار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الهيئات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القضائية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ومنع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يخل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بنظام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الجلسات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F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0"/>
        </w:rPr>
        <w:t xml:space="preserve">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رئيس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يصدر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بشغله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للوظيفة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بناء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عرض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1">
      <w:pPr>
        <w:spacing w:after="300" w:before="300" w:line="240" w:lineRule="auto"/>
        <w:jc w:val="right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0"/>
        </w:rPr>
        <w:t xml:space="preserve">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يتولى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رئيس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إدارة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وتصريف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أموره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وتسيير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والإشراف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المباشر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مكونات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الهيكل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والجهات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التابعة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،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وله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وجه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الخصوص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مايلي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bidi w:val="1"/>
        <w:spacing w:after="0" w:before="28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اقتراح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اللوائح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والإدارية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والفنية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وإحالتها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أمانة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لإصدارها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إصدار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القرارات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بالشؤون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الوظيفية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للعاملين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حدود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الصلاحيات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المقررة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المنصوص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عليها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التشريعات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النافذة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مخاطبة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المختصة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شأن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إصدار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القرارات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بالمهام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الرسمية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والدورات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التدريبية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الداخل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والخارج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بعمل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للائحة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الإفادة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وعلاوة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المبيت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التشريعات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الأخرى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العلاقة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إعداد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الميزانية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والحساب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الختامي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bidi w:val="1"/>
        <w:spacing w:after="28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تمثيل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القضاء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صلاته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الغير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ميزانية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مستقلة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تعد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للنظم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المحاسبية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المعمول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وتبدأ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بداية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للدولة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وتنتهي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بنهايتها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تبدأ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تاريخ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وتنتهي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بنهاية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حساب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مصرفي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تودع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أمواله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وإيرادات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ويتم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الصرف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للتشريعات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النافذة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تتكون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الموارد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bidi w:val="1"/>
        <w:spacing w:after="0" w:before="28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حصيلة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الإيرادات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الناتجة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أدائه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لمهامه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bidi w:val="1"/>
        <w:spacing w:after="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يخصص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الميزانية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bidi w:val="1"/>
        <w:spacing w:after="280" w:before="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موارد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أخرى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يرخص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بالحصول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عليها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يتولى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المراجعة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فحص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ومراجعة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حسابات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وفقا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التشريعات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النافذة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3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يتكون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الهيكل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للجهاز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عدد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التقسيمات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التنظيمية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يصدر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بتحديدها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وبيان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اختصاصاتها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أمين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للعدل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بما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يخالف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وبعد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موافقة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أمانة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للقوى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العاملة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والتدريب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والتشغيل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يلغى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كل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حكم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يخالف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أحكام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القرار</w:t>
      </w:r>
    </w:p>
    <w:p w:rsidR="00000000" w:rsidDel="00000000" w:rsidP="00000000" w:rsidRDefault="00000000" w:rsidRPr="00000000" w14:paraId="00000047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مادة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7"/>
          <w:szCs w:val="27"/>
          <w:rtl w:val="1"/>
        </w:rPr>
        <w:t xml:space="preserve">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300" w:before="300" w:line="240" w:lineRule="auto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يعمل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بهذا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القرار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تاريخ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صدوره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وعلى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الجهات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المختصة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تنفيذه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وينشر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مدونة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الإجراءات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. 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bidi w:val="1"/>
        <w:spacing w:after="280" w:before="280" w:line="240" w:lineRule="auto"/>
        <w:ind w:left="720" w:hanging="360"/>
        <w:rPr>
          <w:rFonts w:ascii="IBM Plex Sans Arabic" w:cs="IBM Plex Sans Arabic" w:eastAsia="IBM Plex Sans Arabic" w:hAnsi="IBM Plex Sans Arabic"/>
          <w:color w:val="000000"/>
          <w:sz w:val="27"/>
          <w:szCs w:val="27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اللجنة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الشعبية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color w:val="000000"/>
          <w:sz w:val="27"/>
          <w:szCs w:val="27"/>
          <w:rtl w:val="1"/>
        </w:rPr>
        <w:t xml:space="preserve">العامة</w:t>
      </w:r>
    </w:p>
    <w:p w:rsidR="00000000" w:rsidDel="00000000" w:rsidP="00000000" w:rsidRDefault="00000000" w:rsidRPr="00000000" w14:paraId="0000004A">
      <w:pPr>
        <w:bidi w:val="1"/>
        <w:jc w:val="right"/>
        <w:rPr/>
      </w:pPr>
      <w:r w:rsidDel="00000000" w:rsidR="00000000" w:rsidRPr="00000000">
        <w:rPr>
          <w:rtl w:val="0"/>
        </w:rPr>
      </w:r>
    </w:p>
    <w:sectPr>
      <w:footerReference r:id="rId44" w:type="default"/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IBM Plex Sans Arabic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link w:val="1Char"/>
    <w:uiPriority w:val="9"/>
    <w:qFormat w:val="1"/>
    <w:rsid w:val="00BC5636"/>
    <w:pPr>
      <w:bidi w:val="0"/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العنوان 1 Char"/>
    <w:basedOn w:val="a0"/>
    <w:link w:val="1"/>
    <w:uiPriority w:val="9"/>
    <w:rsid w:val="00BC5636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yperlink">
    <w:name w:val="Hyperlink"/>
    <w:basedOn w:val="a0"/>
    <w:uiPriority w:val="99"/>
    <w:semiHidden w:val="1"/>
    <w:unhideWhenUsed w:val="1"/>
    <w:rsid w:val="00BC5636"/>
    <w:rPr>
      <w:color w:val="0000ff"/>
      <w:u w:val="single"/>
    </w:rPr>
  </w:style>
  <w:style w:type="character" w:styleId="a2alabel" w:customStyle="1">
    <w:name w:val="a2a_label"/>
    <w:basedOn w:val="a0"/>
    <w:rsid w:val="00BC5636"/>
  </w:style>
  <w:style w:type="paragraph" w:styleId="el-item" w:customStyle="1">
    <w:name w:val="el-item"/>
    <w:basedOn w:val="a"/>
    <w:rsid w:val="00BC5636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 w:val="1"/>
    <w:unhideWhenUsed w:val="1"/>
    <w:rsid w:val="00BC5636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 w:val="1"/>
    <w:rsid w:val="00BC5636"/>
    <w:rPr>
      <w:b w:val="1"/>
      <w:bCs w:val="1"/>
    </w:rPr>
  </w:style>
  <w:style w:type="paragraph" w:styleId="a5">
    <w:name w:val="header"/>
    <w:basedOn w:val="a"/>
    <w:link w:val="Char"/>
    <w:uiPriority w:val="99"/>
    <w:unhideWhenUsed w:val="1"/>
    <w:rsid w:val="0089574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5"/>
    <w:uiPriority w:val="99"/>
    <w:rsid w:val="0089574B"/>
  </w:style>
  <w:style w:type="paragraph" w:styleId="a6">
    <w:name w:val="footer"/>
    <w:basedOn w:val="a"/>
    <w:link w:val="Char0"/>
    <w:uiPriority w:val="99"/>
    <w:unhideWhenUsed w:val="1"/>
    <w:rsid w:val="0089574B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6"/>
    <w:uiPriority w:val="99"/>
    <w:rsid w:val="008957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20" Type="http://schemas.openxmlformats.org/officeDocument/2006/relationships/hyperlink" Target="https://lawsociety.ly/legislation_tag/judicial-police/" TargetMode="External"/><Relationship Id="rId42" Type="http://schemas.openxmlformats.org/officeDocument/2006/relationships/hyperlink" Target="https://lawsociety.ly/legislation/%d8%a7%d9%84%d9%84%d8%a7%d8%a6%d8%ad%d8%a9-%d8%a7%d9%84%d8%aa%d9%86%d9%81%d9%8a%d8%b0%d9%8a%d8%a9-%d9%84%d9%82%d8%a7%d9%86%d9%88%d9%86-%d9%85%d8%a4%d8%b3%d8%b3%d8%a7%d8%aa-%d8%a7%d9%84%d8%a5%d8%b5/" TargetMode="External"/><Relationship Id="rId41" Type="http://schemas.openxmlformats.org/officeDocument/2006/relationships/hyperlink" Target="https://lawsociety.ly/legislation/%d8%a7%d9%84%d9%84%d8%a7%d8%a6%d8%ad%d8%a9-%d8%a7%d9%84%d8%aa%d9%86%d9%81%d9%8a%d8%b0%d9%8a%d8%a9-%d9%84%d9%82%d8%a7%d9%86%d9%88%d9%86-%d9%85%d8%a4%d8%b3%d8%b3%d8%a7%d8%aa-%d8%a7%d9%84%d8%a5%d8%b5/" TargetMode="External"/><Relationship Id="rId22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44" Type="http://schemas.openxmlformats.org/officeDocument/2006/relationships/footer" Target="footer1.xml"/><Relationship Id="rId21" Type="http://schemas.openxmlformats.org/officeDocument/2006/relationships/hyperlink" Target="https://lawsociety.ly/legislation_tag/judicial-police/" TargetMode="External"/><Relationship Id="rId43" Type="http://schemas.openxmlformats.org/officeDocument/2006/relationships/hyperlink" Target="https://lawsociety.ly/legislation/%d8%a7%d9%84%d9%84%d8%a7%d8%a6%d8%ad%d8%a9-%d8%a7%d9%84%d8%aa%d9%86%d9%81%d9%8a%d8%b0%d9%8a%d8%a9-%d9%84%d9%82%d8%a7%d9%86%d9%88%d9%86-%d9%85%d8%a4%d8%b3%d8%b3%d8%a7%d8%aa-%d8%a7%d9%84%d8%a5%d8%b5/" TargetMode="External"/><Relationship Id="rId24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23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wsociety.ly/source/general-peoples-committee/" TargetMode="External"/><Relationship Id="rId26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25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28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27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7" Type="http://schemas.openxmlformats.org/officeDocument/2006/relationships/hyperlink" Target="https://lawsociety.ly/source/general-peoples-committee/" TargetMode="External"/><Relationship Id="rId8" Type="http://schemas.openxmlformats.org/officeDocument/2006/relationships/hyperlink" Target="https://lawsociety.ly/source/general-peoples-committee/" TargetMode="External"/><Relationship Id="rId31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30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1" Type="http://schemas.openxmlformats.org/officeDocument/2006/relationships/hyperlink" Target="https://lawsociety.ly/source/general-peoples-committee/" TargetMode="External"/><Relationship Id="rId33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0" Type="http://schemas.openxmlformats.org/officeDocument/2006/relationships/hyperlink" Target="https://lawsociety.ly/source/general-peoples-committee/" TargetMode="External"/><Relationship Id="rId32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3" Type="http://schemas.openxmlformats.org/officeDocument/2006/relationships/hyperlink" Target="https://lawsociety.ly/public_entity/judicial-police-authority/" TargetMode="External"/><Relationship Id="rId35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2" Type="http://schemas.openxmlformats.org/officeDocument/2006/relationships/hyperlink" Target="https://lawsociety.ly/public_entity/judicial-police-authority/" TargetMode="External"/><Relationship Id="rId34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5" Type="http://schemas.openxmlformats.org/officeDocument/2006/relationships/hyperlink" Target="https://lawsociety.ly/public_entity/judicial-police-authority/" TargetMode="External"/><Relationship Id="rId37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4" Type="http://schemas.openxmlformats.org/officeDocument/2006/relationships/hyperlink" Target="https://lawsociety.ly/public_entity/judicial-police-authority/" TargetMode="External"/><Relationship Id="rId36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7" Type="http://schemas.openxmlformats.org/officeDocument/2006/relationships/hyperlink" Target="https://lawsociety.ly/statuses/active/" TargetMode="External"/><Relationship Id="rId39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6" Type="http://schemas.openxmlformats.org/officeDocument/2006/relationships/hyperlink" Target="https://lawsociety.ly/public_entity/judicial-police-authority/" TargetMode="External"/><Relationship Id="rId38" Type="http://schemas.openxmlformats.org/officeDocument/2006/relationships/hyperlink" Target="https://lawsociety.ly/legislation/%d9%82%d8%a7%d9%86%d9%88%d9%86-%d8%b1%d9%82%d9%85-5-%d9%84%d8%b3%d9%86%d8%a9-2005-%d9%85-%d8%a8%d8%b4%d8%a3%d9%86-%d9%85%d8%a4%d8%b3%d8%b3%d8%a7%d8%aa-%d8%a7%d9%84%d8%a5%d8%b5%d9%84%d8%a7%d8%ad-%d9%88/" TargetMode="External"/><Relationship Id="rId19" Type="http://schemas.openxmlformats.org/officeDocument/2006/relationships/hyperlink" Target="https://lawsociety.ly/legislation_tag/judicial-police/" TargetMode="External"/><Relationship Id="rId18" Type="http://schemas.openxmlformats.org/officeDocument/2006/relationships/hyperlink" Target="https://lawsociety.ly/sector/interior-affair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5f9yNnPr0/iovQFKP4N8P2liQ==">CgMxLjA4AHIhMXlSYlVjU3cxNEYxekM4em0zMzlZcHpNTDE2MEloWGJM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2025-01-14T12:08:00Z</dcterms:created>
  <dc:creator>hasub</dc:creator>
</cp:coreProperties>
</file>